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AF" w:rsidRDefault="00CC3B66"/>
    <w:p w:rsidR="00CC3B66" w:rsidRPr="00CC3B66" w:rsidRDefault="00CC3B66">
      <w:pPr>
        <w:rPr>
          <w:rFonts w:ascii="Century Gothic" w:hAnsi="Century Gothic"/>
        </w:rPr>
      </w:pPr>
    </w:p>
    <w:p w:rsidR="00CC3B66" w:rsidRPr="00CC3B66" w:rsidRDefault="00CC3B66" w:rsidP="00CC3B66">
      <w:pPr>
        <w:jc w:val="both"/>
        <w:rPr>
          <w:rFonts w:ascii="Century Gothic" w:hAnsi="Century Gothic"/>
          <w:b/>
          <w:sz w:val="28"/>
        </w:rPr>
      </w:pPr>
      <w:r w:rsidRPr="00CC3B66">
        <w:rPr>
          <w:rFonts w:ascii="Century Gothic" w:hAnsi="Century Gothic"/>
          <w:b/>
          <w:sz w:val="28"/>
        </w:rPr>
        <w:t>Dotación fundacional o participación y recursos que financian sus actividades</w:t>
      </w:r>
      <w:r>
        <w:rPr>
          <w:rFonts w:ascii="Century Gothic" w:hAnsi="Century Gothic"/>
          <w:b/>
          <w:sz w:val="28"/>
        </w:rPr>
        <w:t>:</w:t>
      </w:r>
    </w:p>
    <w:p w:rsidR="00CC3B66" w:rsidRPr="00CC3B66" w:rsidRDefault="00CC3B66" w:rsidP="00CC3B66">
      <w:pPr>
        <w:rPr>
          <w:rFonts w:ascii="Century Gothic" w:hAnsi="Century Gothic"/>
        </w:rPr>
      </w:pPr>
      <w:r w:rsidRPr="00CC3B66">
        <w:rPr>
          <w:rFonts w:ascii="Century Gothic" w:hAnsi="Century Gothic"/>
        </w:rPr>
        <w:t>La dotación fundacional de Fundación Canaria Auditorio y Teatro de Las Palmas de Gran Canaria, presenta al 31 de diciembre de 2023 el siguiente detalle:</w:t>
      </w:r>
    </w:p>
    <w:p w:rsidR="00CC3B66" w:rsidRPr="00CC3B66" w:rsidRDefault="00CC3B66" w:rsidP="00CC3B66">
      <w:pPr>
        <w:rPr>
          <w:rFonts w:ascii="Century Gothic" w:hAnsi="Century Gothic"/>
        </w:rPr>
      </w:pPr>
    </w:p>
    <w:p w:rsidR="00CC3B66" w:rsidRPr="00CC3B66" w:rsidRDefault="00CC3B66" w:rsidP="00CC3B66">
      <w:pPr>
        <w:rPr>
          <w:rFonts w:ascii="Century Gothic" w:hAnsi="Century Gothic"/>
          <w:b/>
        </w:rPr>
      </w:pPr>
      <w:r w:rsidRPr="00CC3B66">
        <w:rPr>
          <w:rFonts w:ascii="Century Gothic" w:hAnsi="Century Gothic"/>
          <w:b/>
        </w:rPr>
        <w:t>Total Dotación Fundacional: 4.912.192€</w:t>
      </w:r>
    </w:p>
    <w:p w:rsidR="00CC3B66" w:rsidRPr="00CC3B66" w:rsidRDefault="00CC3B66" w:rsidP="00CC3B66">
      <w:pPr>
        <w:rPr>
          <w:rFonts w:ascii="Century Gothic" w:hAnsi="Century Gothic"/>
        </w:rPr>
      </w:pPr>
      <w:r w:rsidRPr="00CC3B66">
        <w:rPr>
          <w:rFonts w:ascii="Century Gothic" w:hAnsi="Century Gothic"/>
        </w:rPr>
        <w:t>La dotación fundacional proviene de las instituciones fundadoras: Ayuntamiento de Las Palmas de Gran Canaria y Cabildo de Gran Canaria.</w:t>
      </w:r>
    </w:p>
    <w:p w:rsidR="00CC3B66" w:rsidRPr="00CC3B66" w:rsidRDefault="00CC3B66" w:rsidP="00CC3B66">
      <w:pPr>
        <w:rPr>
          <w:rFonts w:ascii="Century Gothic" w:hAnsi="Century Gothic"/>
        </w:rPr>
      </w:pPr>
    </w:p>
    <w:p w:rsidR="00CC3B66" w:rsidRPr="00CC3B66" w:rsidRDefault="00CC3B66" w:rsidP="00CC3B66">
      <w:pPr>
        <w:rPr>
          <w:rFonts w:ascii="Century Gothic" w:hAnsi="Century Gothic"/>
          <w:b/>
          <w:u w:val="single"/>
        </w:rPr>
      </w:pPr>
      <w:r w:rsidRPr="00CC3B66">
        <w:rPr>
          <w:rFonts w:ascii="Century Gothic" w:hAnsi="Century Gothic"/>
          <w:b/>
          <w:u w:val="single"/>
        </w:rPr>
        <w:t xml:space="preserve">Presupuesto de ingresos año 2023: </w:t>
      </w:r>
    </w:p>
    <w:p w:rsidR="00CC3B66" w:rsidRPr="00CC3B66" w:rsidRDefault="00CC3B66" w:rsidP="00CC3B66">
      <w:pPr>
        <w:rPr>
          <w:rFonts w:ascii="Century Gothic" w:hAnsi="Century Gothic"/>
        </w:rPr>
      </w:pPr>
      <w:r w:rsidRPr="00CC3B66">
        <w:rPr>
          <w:rFonts w:ascii="Century Gothic" w:hAnsi="Century Gothic"/>
        </w:rPr>
        <w:t>Aportaciones Públicas: 53,90%</w:t>
      </w:r>
    </w:p>
    <w:p w:rsidR="00CC3B66" w:rsidRPr="00CC3B66" w:rsidRDefault="00CC3B66" w:rsidP="00CC3B66">
      <w:pPr>
        <w:rPr>
          <w:rFonts w:ascii="Century Gothic" w:hAnsi="Century Gothic"/>
        </w:rPr>
      </w:pPr>
      <w:r w:rsidRPr="00CC3B66">
        <w:rPr>
          <w:rFonts w:ascii="Century Gothic" w:hAnsi="Century Gothic"/>
        </w:rPr>
        <w:t>Recursos Propios: 46,12%</w:t>
      </w:r>
    </w:p>
    <w:p w:rsidR="00CC3B66" w:rsidRPr="00CC3B66" w:rsidRDefault="00CC3B66" w:rsidP="00CC3B66">
      <w:pPr>
        <w:rPr>
          <w:rFonts w:ascii="Century Gothic" w:hAnsi="Century Gothic"/>
        </w:rPr>
      </w:pPr>
    </w:p>
    <w:p w:rsidR="00CC3B66" w:rsidRPr="00CC3B66" w:rsidRDefault="00CC3B66" w:rsidP="00CC3B66">
      <w:pPr>
        <w:rPr>
          <w:rFonts w:ascii="Century Gothic" w:hAnsi="Century Gothic"/>
        </w:rPr>
      </w:pPr>
      <w:r w:rsidRPr="00CC3B66">
        <w:rPr>
          <w:rFonts w:ascii="Century Gothic" w:hAnsi="Century Gothic"/>
          <w:b/>
          <w:u w:val="single"/>
        </w:rPr>
        <w:t>Presupuesto de ingresos año 2022</w:t>
      </w:r>
      <w:r w:rsidRPr="00CC3B66">
        <w:rPr>
          <w:rFonts w:ascii="Century Gothic" w:hAnsi="Century Gothic"/>
        </w:rPr>
        <w:t xml:space="preserve">: </w:t>
      </w:r>
    </w:p>
    <w:p w:rsidR="00CC3B66" w:rsidRPr="00CC3B66" w:rsidRDefault="00CC3B66" w:rsidP="00CC3B66">
      <w:pPr>
        <w:rPr>
          <w:rFonts w:ascii="Century Gothic" w:hAnsi="Century Gothic"/>
        </w:rPr>
      </w:pPr>
      <w:r w:rsidRPr="00CC3B66">
        <w:rPr>
          <w:rFonts w:ascii="Century Gothic" w:hAnsi="Century Gothic"/>
        </w:rPr>
        <w:t>Aportaciones Públicas: 46,12%</w:t>
      </w:r>
    </w:p>
    <w:p w:rsidR="00CC3B66" w:rsidRPr="00CC3B66" w:rsidRDefault="00CC3B66" w:rsidP="00CC3B66">
      <w:pPr>
        <w:rPr>
          <w:rFonts w:ascii="Century Gothic" w:hAnsi="Century Gothic"/>
        </w:rPr>
      </w:pPr>
      <w:bookmarkStart w:id="0" w:name="_GoBack"/>
      <w:bookmarkEnd w:id="0"/>
      <w:r w:rsidRPr="00CC3B66">
        <w:rPr>
          <w:rFonts w:ascii="Century Gothic" w:hAnsi="Century Gothic"/>
        </w:rPr>
        <w:t>Recursos Propios: 53,88%</w:t>
      </w:r>
    </w:p>
    <w:sectPr w:rsidR="00CC3B66" w:rsidRPr="00CC3B6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B03462" w:rsidP="00B03462">
      <w:pPr>
        <w:spacing w:after="0" w:line="240" w:lineRule="auto"/>
      </w:pPr>
      <w:r>
        <w:separator/>
      </w:r>
    </w:p>
  </w:endnote>
  <w:end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B03462" w:rsidP="00B03462">
      <w:pPr>
        <w:spacing w:after="0" w:line="240" w:lineRule="auto"/>
      </w:pPr>
      <w:r>
        <w:separator/>
      </w:r>
    </w:p>
  </w:footnote>
  <w:foot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2" w:rsidRDefault="00B034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-276073</wp:posOffset>
          </wp:positionH>
          <wp:positionV relativeFrom="paragraph">
            <wp:posOffset>32740</wp:posOffset>
          </wp:positionV>
          <wp:extent cx="1386840" cy="452120"/>
          <wp:effectExtent l="0" t="0" r="3810" b="5080"/>
          <wp:wrapTight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2"/>
    <w:rsid w:val="00277359"/>
    <w:rsid w:val="00514474"/>
    <w:rsid w:val="008226B7"/>
    <w:rsid w:val="00B03462"/>
    <w:rsid w:val="00CC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chartTrackingRefBased/>
  <w15:docId w15:val="{15C9E9B4-41B5-4324-9E82-A1E5F87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462"/>
  </w:style>
  <w:style w:type="paragraph" w:styleId="Piedepgina">
    <w:name w:val="footer"/>
    <w:basedOn w:val="Normal"/>
    <w:link w:val="Piedepgina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3</cp:revision>
  <cp:lastPrinted>2022-10-29T18:22:00Z</cp:lastPrinted>
  <dcterms:created xsi:type="dcterms:W3CDTF">2022-10-29T18:14:00Z</dcterms:created>
  <dcterms:modified xsi:type="dcterms:W3CDTF">2024-02-17T22:34:00Z</dcterms:modified>
</cp:coreProperties>
</file>