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66B" w:rsidRPr="00665438" w:rsidRDefault="00AA566B" w:rsidP="00665438">
      <w:pPr>
        <w:pStyle w:val="NormalWeb"/>
        <w:shd w:val="clear" w:color="auto" w:fill="FFFFFF"/>
        <w:spacing w:before="0" w:beforeAutospacing="0" w:after="525" w:afterAutospacing="0" w:line="276" w:lineRule="auto"/>
        <w:jc w:val="center"/>
        <w:rPr>
          <w:rFonts w:ascii="Century Gothic" w:hAnsi="Century Gothic"/>
          <w:b/>
          <w:color w:val="1F3864" w:themeColor="accent5" w:themeShade="80"/>
          <w:sz w:val="20"/>
          <w:u w:val="single"/>
        </w:rPr>
      </w:pPr>
      <w:r w:rsidRPr="00665438">
        <w:rPr>
          <w:rFonts w:ascii="Century Gothic" w:hAnsi="Century Gothic"/>
          <w:color w:val="2A2A2A"/>
          <w:sz w:val="20"/>
        </w:rPr>
        <w:br/>
      </w:r>
      <w:r w:rsidRPr="00665438">
        <w:rPr>
          <w:rFonts w:ascii="Century Gothic" w:hAnsi="Century Gothic"/>
          <w:color w:val="2A2A2A"/>
          <w:sz w:val="20"/>
        </w:rPr>
        <w:br/>
      </w:r>
      <w:r w:rsidRPr="00665438">
        <w:rPr>
          <w:rFonts w:ascii="Century Gothic" w:hAnsi="Century Gothic"/>
          <w:b/>
          <w:color w:val="1F3864" w:themeColor="accent5" w:themeShade="80"/>
          <w:sz w:val="20"/>
          <w:u w:val="single"/>
        </w:rPr>
        <w:t>PROTOCOLO Y PROCEDIMIENTOS DE TRANSPARENCIA</w:t>
      </w:r>
    </w:p>
    <w:p w:rsidR="00AA566B" w:rsidRPr="00665438" w:rsidRDefault="00402C93" w:rsidP="00AA566B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color w:val="2A2A2A"/>
          <w:sz w:val="20"/>
        </w:rPr>
      </w:pPr>
      <w:r w:rsidRPr="00665438">
        <w:rPr>
          <w:rFonts w:ascii="Century Gothic" w:hAnsi="Century Gothic"/>
          <w:color w:val="2A2A2A"/>
          <w:sz w:val="20"/>
        </w:rPr>
        <w:t>La Fundación Auditorio y Teatro de Las Palmas de Gran Canaria pone</w:t>
      </w:r>
      <w:r w:rsidR="00984E10" w:rsidRPr="00665438">
        <w:rPr>
          <w:rFonts w:ascii="Century Gothic" w:hAnsi="Century Gothic"/>
          <w:color w:val="2A2A2A"/>
          <w:sz w:val="20"/>
        </w:rPr>
        <w:t xml:space="preserve"> a disposición de la ciudadanía </w:t>
      </w:r>
      <w:r w:rsidR="00AA566B" w:rsidRPr="00665438">
        <w:rPr>
          <w:rFonts w:ascii="Century Gothic" w:hAnsi="Century Gothic"/>
          <w:color w:val="2A2A2A"/>
          <w:sz w:val="20"/>
        </w:rPr>
        <w:t>el</w:t>
      </w:r>
      <w:r w:rsidR="00984E10" w:rsidRPr="00665438">
        <w:rPr>
          <w:rFonts w:ascii="Century Gothic" w:hAnsi="Century Gothic"/>
          <w:color w:val="2A2A2A"/>
          <w:sz w:val="20"/>
        </w:rPr>
        <w:t xml:space="preserve"> Portal de Transparencia para que acceda a la información pública que aportan todas sus áreas de forma fácil y sencilla. La ciudadanía tiene derecho a saber y a través de este Portal se garantiza el mismo, fomentando de esta forma la participación ciudadana y la colaboración en la gestión de los asuntos públicos.</w:t>
      </w:r>
    </w:p>
    <w:p w:rsidR="00665438" w:rsidRDefault="00984E10" w:rsidP="00665438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color w:val="2A2A2A"/>
          <w:sz w:val="20"/>
        </w:rPr>
      </w:pPr>
      <w:r w:rsidRPr="00665438">
        <w:rPr>
          <w:rFonts w:ascii="Century Gothic" w:hAnsi="Century Gothic"/>
          <w:color w:val="2A2A2A"/>
          <w:sz w:val="20"/>
        </w:rPr>
        <w:t>Cualquier persona tiene derecho a acceder a esta información con algunas limitaciones si su contenido afecta, por ejemplo, a la propiedad intelectual e industrial, la protección de datos personales y otros límites recogidos en la norma. Ello no significa que no pueda, una vez ponderado el interés a proteger, concederse un acceso parcial a la información, siempre que ello no distorsione o haga carecer de sentido la información que se facilita.</w:t>
      </w:r>
    </w:p>
    <w:p w:rsidR="00AA566B" w:rsidRPr="00665438" w:rsidRDefault="00984E10" w:rsidP="00665438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sz w:val="20"/>
        </w:rPr>
      </w:pPr>
      <w:r w:rsidRPr="00665438">
        <w:rPr>
          <w:rFonts w:ascii="Century Gothic" w:hAnsi="Century Gothic"/>
          <w:sz w:val="20"/>
        </w:rPr>
        <w:t xml:space="preserve">A través de este documento, </w:t>
      </w:r>
      <w:r w:rsidR="005376A7" w:rsidRPr="00665438">
        <w:rPr>
          <w:rFonts w:ascii="Century Gothic" w:hAnsi="Century Gothic"/>
          <w:sz w:val="20"/>
        </w:rPr>
        <w:t xml:space="preserve">la Fundación Auditorio y Teatro de Las Palmas de Gran Canaria, asume el compromiso de poner </w:t>
      </w:r>
      <w:r w:rsidRPr="00665438">
        <w:rPr>
          <w:rFonts w:ascii="Century Gothic" w:hAnsi="Century Gothic"/>
          <w:sz w:val="20"/>
        </w:rPr>
        <w:t xml:space="preserve">a disposición de la ciudadanía </w:t>
      </w:r>
      <w:r w:rsidR="00AA566B" w:rsidRPr="00665438">
        <w:rPr>
          <w:rFonts w:ascii="Century Gothic" w:hAnsi="Century Gothic"/>
          <w:sz w:val="20"/>
        </w:rPr>
        <w:t>el</w:t>
      </w:r>
      <w:r w:rsidRPr="00665438">
        <w:rPr>
          <w:rFonts w:ascii="Century Gothic" w:hAnsi="Century Gothic"/>
          <w:sz w:val="20"/>
        </w:rPr>
        <w:t xml:space="preserve"> Portal de Transparencia, un lugar en el que publicar toda información pública en materia </w:t>
      </w:r>
      <w:r w:rsidR="00AA566B" w:rsidRPr="00665438">
        <w:rPr>
          <w:rFonts w:ascii="Century Gothic" w:hAnsi="Century Gothic"/>
          <w:sz w:val="20"/>
        </w:rPr>
        <w:t xml:space="preserve">institucional, </w:t>
      </w:r>
      <w:r w:rsidRPr="00665438">
        <w:rPr>
          <w:rFonts w:ascii="Century Gothic" w:hAnsi="Century Gothic"/>
          <w:sz w:val="20"/>
        </w:rPr>
        <w:t xml:space="preserve">estructura y funcionamiento de la </w:t>
      </w:r>
      <w:r w:rsidR="00AA566B" w:rsidRPr="00665438">
        <w:rPr>
          <w:rFonts w:ascii="Century Gothic" w:hAnsi="Century Gothic"/>
          <w:sz w:val="20"/>
        </w:rPr>
        <w:t>Fundación</w:t>
      </w:r>
      <w:r w:rsidRPr="00665438">
        <w:rPr>
          <w:rFonts w:ascii="Century Gothic" w:hAnsi="Century Gothic"/>
          <w:sz w:val="20"/>
        </w:rPr>
        <w:t xml:space="preserve">, </w:t>
      </w:r>
      <w:r w:rsidR="005376A7" w:rsidRPr="00665438">
        <w:rPr>
          <w:rFonts w:ascii="Century Gothic" w:hAnsi="Century Gothic"/>
          <w:sz w:val="20"/>
        </w:rPr>
        <w:t xml:space="preserve">actualizada y estructurada, favoreciendo </w:t>
      </w:r>
      <w:r w:rsidRPr="00665438">
        <w:rPr>
          <w:rFonts w:ascii="Century Gothic" w:hAnsi="Century Gothic"/>
          <w:sz w:val="20"/>
        </w:rPr>
        <w:t xml:space="preserve">la participación de todos los usuarios </w:t>
      </w:r>
      <w:r w:rsidR="00AA566B" w:rsidRPr="00665438">
        <w:rPr>
          <w:rFonts w:ascii="Century Gothic" w:hAnsi="Century Gothic"/>
          <w:sz w:val="20"/>
        </w:rPr>
        <w:t xml:space="preserve">en </w:t>
      </w:r>
      <w:r w:rsidRPr="00665438">
        <w:rPr>
          <w:rFonts w:ascii="Century Gothic" w:hAnsi="Century Gothic"/>
          <w:sz w:val="20"/>
        </w:rPr>
        <w:t xml:space="preserve">su derecho de acceso a la información pública, prestando servicios de calidad y adecuando nuestra actividad a las necesidades y expectativas de los ciudadanos desde una gestión responsable </w:t>
      </w:r>
      <w:r w:rsidR="00AA566B" w:rsidRPr="00665438">
        <w:rPr>
          <w:rFonts w:ascii="Century Gothic" w:hAnsi="Century Gothic"/>
          <w:sz w:val="20"/>
        </w:rPr>
        <w:t xml:space="preserve">y </w:t>
      </w:r>
      <w:r w:rsidRPr="00665438">
        <w:rPr>
          <w:rFonts w:ascii="Century Gothic" w:hAnsi="Century Gothic"/>
          <w:sz w:val="20"/>
        </w:rPr>
        <w:t>eficaz</w:t>
      </w:r>
      <w:r w:rsidR="00AA566B" w:rsidRPr="00665438">
        <w:rPr>
          <w:rFonts w:ascii="Century Gothic" w:hAnsi="Century Gothic"/>
          <w:sz w:val="20"/>
        </w:rPr>
        <w:t>, cumpliendo con la legislación en materia de transparencia y actualizando y revisando la información de forma periódica.</w:t>
      </w:r>
    </w:p>
    <w:p w:rsidR="00AA566B" w:rsidRPr="00665438" w:rsidRDefault="00AA566B" w:rsidP="00AA566B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sz w:val="20"/>
        </w:rPr>
      </w:pPr>
      <w:r w:rsidRPr="00665438">
        <w:rPr>
          <w:rFonts w:ascii="Century Gothic" w:hAnsi="Century Gothic"/>
          <w:sz w:val="20"/>
        </w:rPr>
        <w:t>La Fundación Auditorio y Teatro, según la estructura prevista en la Ley 12/2014, de 26 de diciembre, publica toda la información exigida por el Comisionado de Transparencia para garantizar el cumplimiento de las obligaciones, agrupada según sigue:</w:t>
      </w:r>
    </w:p>
    <w:p w:rsidR="00665438" w:rsidRDefault="00AA566B" w:rsidP="00AA566B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bookmarkStart w:id="0" w:name="_GoBack"/>
      <w:r w:rsidRPr="00665438">
        <w:rPr>
          <w:rFonts w:ascii="Century Gothic" w:hAnsi="Century Gothic"/>
          <w:sz w:val="20"/>
        </w:rPr>
        <w:t xml:space="preserve">INFORMACIÓN INSTITUCIONAL </w:t>
      </w:r>
    </w:p>
    <w:p w:rsidR="00AA566B" w:rsidRPr="00665438" w:rsidRDefault="00AA566B" w:rsidP="00AA566B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665438">
        <w:rPr>
          <w:rFonts w:ascii="Century Gothic" w:hAnsi="Century Gothic"/>
          <w:sz w:val="20"/>
        </w:rPr>
        <w:t>INFORMACIÓN ORGANIZATIVA</w:t>
      </w:r>
    </w:p>
    <w:p w:rsidR="00AA566B" w:rsidRPr="00665438" w:rsidRDefault="00665438" w:rsidP="00AA566B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MIEMBROS ELECTOS Y PERSONAL DE LIBRE NOMBRAMIENTO</w:t>
      </w:r>
      <w:r w:rsidR="00AA566B" w:rsidRPr="00665438">
        <w:rPr>
          <w:rFonts w:ascii="Century Gothic" w:hAnsi="Century Gothic"/>
          <w:sz w:val="20"/>
        </w:rPr>
        <w:t xml:space="preserve"> </w:t>
      </w:r>
    </w:p>
    <w:p w:rsidR="00AA566B" w:rsidRPr="00665438" w:rsidRDefault="00AA566B" w:rsidP="00AA566B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665438">
        <w:rPr>
          <w:rFonts w:ascii="Century Gothic" w:hAnsi="Century Gothic"/>
          <w:sz w:val="20"/>
        </w:rPr>
        <w:t xml:space="preserve">INFORMACIÓN EN MATERIA DE </w:t>
      </w:r>
      <w:r w:rsidR="00665438">
        <w:rPr>
          <w:rFonts w:ascii="Century Gothic" w:hAnsi="Century Gothic"/>
          <w:sz w:val="20"/>
        </w:rPr>
        <w:t>EMPLEO</w:t>
      </w:r>
      <w:r w:rsidRPr="00665438">
        <w:rPr>
          <w:rFonts w:ascii="Century Gothic" w:hAnsi="Century Gothic"/>
          <w:sz w:val="20"/>
        </w:rPr>
        <w:t xml:space="preserve"> </w:t>
      </w:r>
    </w:p>
    <w:p w:rsidR="00665438" w:rsidRDefault="00665438" w:rsidP="00AA566B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INFORMACIÓN EN MATERIA DE RETRIBUCIONES</w:t>
      </w:r>
    </w:p>
    <w:p w:rsidR="00AA566B" w:rsidRPr="00665438" w:rsidRDefault="00AA566B" w:rsidP="00AA566B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665438">
        <w:rPr>
          <w:rFonts w:ascii="Century Gothic" w:hAnsi="Century Gothic"/>
          <w:sz w:val="20"/>
        </w:rPr>
        <w:t xml:space="preserve">SERVICIOS </w:t>
      </w:r>
      <w:r w:rsidR="00665438">
        <w:rPr>
          <w:rFonts w:ascii="Century Gothic" w:hAnsi="Century Gothic"/>
          <w:sz w:val="20"/>
        </w:rPr>
        <w:t>Y PROCEDIMIENTOS</w:t>
      </w:r>
    </w:p>
    <w:p w:rsidR="00AA566B" w:rsidRPr="00665438" w:rsidRDefault="00AA566B" w:rsidP="00AA566B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</w:p>
    <w:p w:rsidR="00AA566B" w:rsidRPr="00665438" w:rsidRDefault="00AA566B" w:rsidP="00AA566B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665438">
        <w:rPr>
          <w:rFonts w:ascii="Century Gothic" w:hAnsi="Century Gothic"/>
          <w:sz w:val="20"/>
        </w:rPr>
        <w:t>INFORMACIÓN ECONÓMICA-FINANCIERA</w:t>
      </w:r>
    </w:p>
    <w:p w:rsidR="00AA566B" w:rsidRPr="00665438" w:rsidRDefault="00AA566B" w:rsidP="00AA566B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665438">
        <w:rPr>
          <w:rFonts w:ascii="Century Gothic" w:hAnsi="Century Gothic"/>
          <w:sz w:val="20"/>
        </w:rPr>
        <w:t xml:space="preserve">INFORMACIÓN DE LOS CONTRATOS </w:t>
      </w:r>
    </w:p>
    <w:p w:rsidR="00AA566B" w:rsidRPr="00665438" w:rsidRDefault="00AA566B" w:rsidP="00AA566B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665438">
        <w:rPr>
          <w:rFonts w:ascii="Century Gothic" w:hAnsi="Century Gothic"/>
          <w:sz w:val="20"/>
        </w:rPr>
        <w:t xml:space="preserve">INFORMACIÓN DE LOS CONVENIOS Y ENCOMIENDAS DE GESTIÓN </w:t>
      </w:r>
    </w:p>
    <w:p w:rsidR="00AA566B" w:rsidRPr="00665438" w:rsidRDefault="00AA566B" w:rsidP="00AA566B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665438">
        <w:rPr>
          <w:rFonts w:ascii="Century Gothic" w:hAnsi="Century Gothic"/>
          <w:sz w:val="20"/>
        </w:rPr>
        <w:t xml:space="preserve">ACCESO A LA INFORMACIÓN PÚBLICA </w:t>
      </w:r>
    </w:p>
    <w:p w:rsidR="00AA566B" w:rsidRPr="00665438" w:rsidRDefault="00665438" w:rsidP="00AA566B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DERECHO DE ACCESO </w:t>
      </w:r>
    </w:p>
    <w:p w:rsidR="00AA566B" w:rsidRPr="00665438" w:rsidRDefault="00AA566B" w:rsidP="00AA566B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665438">
        <w:rPr>
          <w:rFonts w:ascii="Century Gothic" w:hAnsi="Century Gothic"/>
          <w:sz w:val="20"/>
        </w:rPr>
        <w:t xml:space="preserve">INFORMACIÓN SOBRE SUBVENCIONES Y AYUDAS PÚBLICAS </w:t>
      </w:r>
    </w:p>
    <w:p w:rsidR="00AA566B" w:rsidRPr="00665438" w:rsidRDefault="00AA566B" w:rsidP="00AA566B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665438">
        <w:rPr>
          <w:rFonts w:ascii="Century Gothic" w:hAnsi="Century Gothic"/>
          <w:sz w:val="20"/>
        </w:rPr>
        <w:t xml:space="preserve">ENLACES DE INTERÉS </w:t>
      </w:r>
    </w:p>
    <w:p w:rsidR="00AA566B" w:rsidRPr="00665438" w:rsidRDefault="00AA566B" w:rsidP="00AA566B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665438">
        <w:rPr>
          <w:rFonts w:ascii="Century Gothic" w:hAnsi="Century Gothic"/>
          <w:sz w:val="20"/>
        </w:rPr>
        <w:t xml:space="preserve">INFORMACIÓN SOBRE TRANSPARENCIA </w:t>
      </w:r>
    </w:p>
    <w:bookmarkEnd w:id="0"/>
    <w:p w:rsidR="00113229" w:rsidRPr="00665438" w:rsidRDefault="00AA566B" w:rsidP="00AA566B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sz w:val="20"/>
        </w:rPr>
      </w:pPr>
      <w:r w:rsidRPr="00665438">
        <w:rPr>
          <w:rFonts w:ascii="Century Gothic" w:hAnsi="Century Gothic"/>
          <w:sz w:val="20"/>
        </w:rPr>
        <w:br/>
      </w:r>
      <w:r w:rsidRPr="00665438">
        <w:rPr>
          <w:rFonts w:ascii="Century Gothic" w:hAnsi="Century Gothic"/>
          <w:sz w:val="20"/>
        </w:rPr>
        <w:br/>
      </w:r>
    </w:p>
    <w:sectPr w:rsidR="00113229" w:rsidRPr="00665438" w:rsidSect="00AA566B">
      <w:headerReference w:type="default" r:id="rId6"/>
      <w:pgSz w:w="11906" w:h="16838"/>
      <w:pgMar w:top="21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6B" w:rsidRDefault="00AA566B" w:rsidP="00AA566B">
      <w:pPr>
        <w:spacing w:after="0" w:line="240" w:lineRule="auto"/>
      </w:pPr>
      <w:r>
        <w:separator/>
      </w:r>
    </w:p>
  </w:endnote>
  <w:end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6B" w:rsidRDefault="00AA566B" w:rsidP="00AA566B">
      <w:pPr>
        <w:spacing w:after="0" w:line="240" w:lineRule="auto"/>
      </w:pPr>
      <w:r>
        <w:separator/>
      </w:r>
    </w:p>
  </w:footnote>
  <w:foot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6B" w:rsidRDefault="00AA56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55245</wp:posOffset>
          </wp:positionV>
          <wp:extent cx="1752600" cy="571500"/>
          <wp:effectExtent l="0" t="0" r="0" b="0"/>
          <wp:wrapTight wrapText="bothSides">
            <wp:wrapPolygon edited="0">
              <wp:start x="0" y="0"/>
              <wp:lineTo x="0" y="20880"/>
              <wp:lineTo x="21365" y="20880"/>
              <wp:lineTo x="21365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10"/>
    <w:rsid w:val="00322B08"/>
    <w:rsid w:val="00402C93"/>
    <w:rsid w:val="005376A7"/>
    <w:rsid w:val="00665438"/>
    <w:rsid w:val="006F49FC"/>
    <w:rsid w:val="00984E10"/>
    <w:rsid w:val="00AA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933EBC5-0449-47BB-9EF6-9D5D88ED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66B"/>
  </w:style>
  <w:style w:type="paragraph" w:styleId="Piedepgina">
    <w:name w:val="footer"/>
    <w:basedOn w:val="Normal"/>
    <w:link w:val="Piedepgina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2</cp:revision>
  <dcterms:created xsi:type="dcterms:W3CDTF">2020-07-07T18:18:00Z</dcterms:created>
  <dcterms:modified xsi:type="dcterms:W3CDTF">2025-04-10T11:58:00Z</dcterms:modified>
</cp:coreProperties>
</file>