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4AF" w:rsidRPr="00CC0E52" w:rsidRDefault="00CC0E52">
      <w:pPr>
        <w:rPr>
          <w:rFonts w:ascii="Century Gothic" w:hAnsi="Century Gothic"/>
        </w:rPr>
      </w:pPr>
    </w:p>
    <w:p w:rsidR="00CC3B66" w:rsidRPr="00CC0E52" w:rsidRDefault="00CC3B66">
      <w:pPr>
        <w:rPr>
          <w:rFonts w:ascii="Century Gothic" w:hAnsi="Century Gothic"/>
        </w:rPr>
      </w:pPr>
    </w:p>
    <w:p w:rsidR="00CC0E52" w:rsidRPr="00CC0E52" w:rsidRDefault="00CC0E52" w:rsidP="00CC0E52">
      <w:pPr>
        <w:pStyle w:val="NormalWeb"/>
        <w:rPr>
          <w:rFonts w:ascii="Century Gothic" w:hAnsi="Century Gothic"/>
          <w:sz w:val="28"/>
        </w:rPr>
      </w:pPr>
      <w:r w:rsidRPr="00CC0E52">
        <w:rPr>
          <w:rStyle w:val="Textoennegrita"/>
          <w:rFonts w:ascii="Century Gothic" w:hAnsi="Century Gothic"/>
          <w:sz w:val="28"/>
          <w:u w:val="single"/>
        </w:rPr>
        <w:t>Composición y convocatorias de la mesa o del órgano de contratación</w:t>
      </w:r>
    </w:p>
    <w:p w:rsidR="00CC0E52" w:rsidRPr="00CC0E52" w:rsidRDefault="00CC0E52" w:rsidP="00CC0E52">
      <w:pPr>
        <w:pStyle w:val="NormalWeb"/>
        <w:jc w:val="both"/>
        <w:rPr>
          <w:rFonts w:ascii="Century Gothic" w:hAnsi="Century Gothic"/>
          <w:sz w:val="20"/>
        </w:rPr>
      </w:pPr>
      <w:r w:rsidRPr="00CC0E52">
        <w:rPr>
          <w:rFonts w:ascii="Century Gothic" w:hAnsi="Century Gothic"/>
          <w:sz w:val="20"/>
        </w:rPr>
        <w:t>La Fundación Canaria Auditorio y Teatro de Las Palmas de Gran Canaria tiene la consideración de poder adjudicador no Administración Pública, de conformidad con lo dispuesto en la Ley 9/2017, de 8 de noviembre, de Contratos del Sector Público, por lo que la constitución de una mesa de contratación es meramente facultativa, según la Recomendación de la Junta Consultiva de Contratación Pública del Estado de 28 de febrero de 2018 y el Informe de la Abogacía General del Estado en su Instrucción 1/2008.</w:t>
      </w:r>
    </w:p>
    <w:p w:rsidR="00CC0E52" w:rsidRPr="00CC0E52" w:rsidRDefault="00CC0E52" w:rsidP="00CC0E52">
      <w:pPr>
        <w:pStyle w:val="NormalWeb"/>
        <w:jc w:val="both"/>
        <w:rPr>
          <w:rFonts w:ascii="Century Gothic" w:hAnsi="Century Gothic"/>
          <w:sz w:val="20"/>
        </w:rPr>
      </w:pPr>
      <w:r w:rsidRPr="00CC0E52">
        <w:rPr>
          <w:rFonts w:ascii="Century Gothic" w:hAnsi="Century Gothic"/>
          <w:sz w:val="20"/>
        </w:rPr>
        <w:t>La decisión de su constitución se deja a criterio del Patronato y, en caso de optar por ella y por razones de celeridad y eficacia, se propone que se apruebe la constitución de una Mesa de Contratación de carácter estable y, además, que ésta intervenga en expedientes de contratación relativos a contratos sujetos a una regulación armonizada; Además el Patronato podrá acordar la delegación de las funciones de dicha mesa de contratación, en el Director General y en el  Secretario del Patronato, para la evaluación y elevación de la propuesta de adjudicación.</w:t>
      </w:r>
    </w:p>
    <w:p w:rsidR="00CC0E52" w:rsidRPr="00CC0E52" w:rsidRDefault="00CC0E52" w:rsidP="00CC0E52">
      <w:pPr>
        <w:pStyle w:val="NormalWeb"/>
        <w:jc w:val="both"/>
        <w:rPr>
          <w:rFonts w:ascii="Century Gothic" w:hAnsi="Century Gothic"/>
          <w:sz w:val="20"/>
        </w:rPr>
      </w:pPr>
      <w:bookmarkStart w:id="0" w:name="_GoBack"/>
      <w:bookmarkEnd w:id="0"/>
      <w:r w:rsidRPr="00CC0E52">
        <w:rPr>
          <w:rFonts w:ascii="Century Gothic" w:hAnsi="Century Gothic"/>
          <w:sz w:val="20"/>
        </w:rPr>
        <w:t>En materia de contratación, se establecen las siguientes competencias:</w:t>
      </w:r>
    </w:p>
    <w:p w:rsidR="00CC0E52" w:rsidRPr="00CC0E52" w:rsidRDefault="00CC0E52" w:rsidP="00CC0E52">
      <w:pPr>
        <w:pStyle w:val="NormalWeb"/>
        <w:jc w:val="both"/>
        <w:rPr>
          <w:rFonts w:ascii="Century Gothic" w:hAnsi="Century Gothic"/>
          <w:sz w:val="20"/>
        </w:rPr>
      </w:pPr>
      <w:r w:rsidRPr="00CC0E52">
        <w:rPr>
          <w:rFonts w:ascii="Century Gothic" w:hAnsi="Century Gothic"/>
          <w:sz w:val="20"/>
        </w:rPr>
        <w:t>  a.)      Al Patronato para la iniciación, tramitación, impulso y adjudicación de los contratos sujetos a regulación armonizada.</w:t>
      </w:r>
    </w:p>
    <w:p w:rsidR="00CC0E52" w:rsidRPr="00CC0E52" w:rsidRDefault="00CC0E52" w:rsidP="00CC0E52">
      <w:pPr>
        <w:pStyle w:val="NormalWeb"/>
        <w:jc w:val="both"/>
        <w:rPr>
          <w:rFonts w:ascii="Century Gothic" w:hAnsi="Century Gothic"/>
          <w:sz w:val="20"/>
        </w:rPr>
      </w:pPr>
      <w:r w:rsidRPr="00CC0E52">
        <w:rPr>
          <w:rFonts w:ascii="Century Gothic" w:hAnsi="Century Gothic"/>
          <w:sz w:val="20"/>
        </w:rPr>
        <w:t>  b.)      Al Director General para la iniciación, tramitación, impulso y adjudicación de los contratos no sujetos a regulación armonizada o de cuantía inferior.</w:t>
      </w:r>
    </w:p>
    <w:p w:rsidR="00CC0E52" w:rsidRPr="00CC0E52" w:rsidRDefault="00CC0E52" w:rsidP="00CC0E52">
      <w:pPr>
        <w:pStyle w:val="NormalWeb"/>
        <w:jc w:val="both"/>
        <w:rPr>
          <w:rFonts w:ascii="Century Gothic" w:hAnsi="Century Gothic"/>
          <w:sz w:val="20"/>
        </w:rPr>
      </w:pPr>
      <w:r w:rsidRPr="00CC0E52">
        <w:rPr>
          <w:rFonts w:ascii="Century Gothic" w:hAnsi="Century Gothic"/>
          <w:sz w:val="20"/>
        </w:rPr>
        <w:t> </w:t>
      </w:r>
    </w:p>
    <w:p w:rsidR="00CC0E52" w:rsidRPr="00CC0E52" w:rsidRDefault="00CC0E52" w:rsidP="00CC0E52">
      <w:pPr>
        <w:pStyle w:val="NormalWeb"/>
        <w:rPr>
          <w:rFonts w:ascii="Century Gothic" w:hAnsi="Century Gothic"/>
          <w:sz w:val="20"/>
        </w:rPr>
      </w:pPr>
      <w:r w:rsidRPr="00CC0E52">
        <w:rPr>
          <w:rFonts w:ascii="Century Gothic" w:hAnsi="Century Gothic"/>
          <w:sz w:val="20"/>
        </w:rPr>
        <w:t>Fecha revisión: 30/10/2023</w:t>
      </w:r>
    </w:p>
    <w:sectPr w:rsidR="00CC0E52" w:rsidRPr="00CC0E5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462" w:rsidRDefault="00B03462" w:rsidP="00B03462">
      <w:pPr>
        <w:spacing w:after="0" w:line="240" w:lineRule="auto"/>
      </w:pPr>
      <w:r>
        <w:separator/>
      </w:r>
    </w:p>
  </w:endnote>
  <w:endnote w:type="continuationSeparator" w:id="0">
    <w:p w:rsidR="00B03462" w:rsidRDefault="00B03462" w:rsidP="00B0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462" w:rsidRDefault="00B03462" w:rsidP="00B03462">
      <w:pPr>
        <w:spacing w:after="0" w:line="240" w:lineRule="auto"/>
      </w:pPr>
      <w:r>
        <w:separator/>
      </w:r>
    </w:p>
  </w:footnote>
  <w:footnote w:type="continuationSeparator" w:id="0">
    <w:p w:rsidR="00B03462" w:rsidRDefault="00B03462" w:rsidP="00B03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62" w:rsidRDefault="00B03462">
    <w:pPr>
      <w:pStyle w:val="Encabezado"/>
    </w:pPr>
    <w:r>
      <w:rPr>
        <w:noProof/>
        <w:lang w:eastAsia="es-ES"/>
      </w:rPr>
      <w:drawing>
        <wp:anchor distT="0" distB="0" distL="114300" distR="114300" simplePos="0" relativeHeight="251659264" behindDoc="0" locked="0" layoutInCell="1" allowOverlap="1">
          <wp:simplePos x="0" y="0"/>
          <wp:positionH relativeFrom="column">
            <wp:posOffset>-276073</wp:posOffset>
          </wp:positionH>
          <wp:positionV relativeFrom="paragraph">
            <wp:posOffset>32740</wp:posOffset>
          </wp:positionV>
          <wp:extent cx="1386840" cy="452120"/>
          <wp:effectExtent l="0" t="0" r="3810" b="5080"/>
          <wp:wrapTight wrapText="bothSides">
            <wp:wrapPolygon edited="0">
              <wp:start x="0" y="0"/>
              <wp:lineTo x="0" y="20933"/>
              <wp:lineTo x="21363" y="20933"/>
              <wp:lineTo x="2136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Auditorio y Teatro horizonal.jpg"/>
                  <pic:cNvPicPr/>
                </pic:nvPicPr>
                <pic:blipFill>
                  <a:blip r:embed="rId1">
                    <a:extLst>
                      <a:ext uri="{28A0092B-C50C-407E-A947-70E740481C1C}">
                        <a14:useLocalDpi xmlns:a14="http://schemas.microsoft.com/office/drawing/2010/main" val="0"/>
                      </a:ext>
                    </a:extLst>
                  </a:blip>
                  <a:stretch>
                    <a:fillRect/>
                  </a:stretch>
                </pic:blipFill>
                <pic:spPr>
                  <a:xfrm>
                    <a:off x="0" y="0"/>
                    <a:ext cx="1386840" cy="4521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62"/>
    <w:rsid w:val="001C11D1"/>
    <w:rsid w:val="00221462"/>
    <w:rsid w:val="00277359"/>
    <w:rsid w:val="003C6ED4"/>
    <w:rsid w:val="00514474"/>
    <w:rsid w:val="005C4E3D"/>
    <w:rsid w:val="005F0114"/>
    <w:rsid w:val="008226B7"/>
    <w:rsid w:val="00836A4F"/>
    <w:rsid w:val="00B03462"/>
    <w:rsid w:val="00CC0E52"/>
    <w:rsid w:val="00CC3B66"/>
    <w:rsid w:val="00CF247E"/>
    <w:rsid w:val="00D23C34"/>
    <w:rsid w:val="00E07EC2"/>
    <w:rsid w:val="00EB5250"/>
    <w:rsid w:val="00F07B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5C9E9B4-41B5-4324-9E82-A1E5F87F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34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3462"/>
  </w:style>
  <w:style w:type="paragraph" w:styleId="Piedepgina">
    <w:name w:val="footer"/>
    <w:basedOn w:val="Normal"/>
    <w:link w:val="PiedepginaCar"/>
    <w:uiPriority w:val="99"/>
    <w:unhideWhenUsed/>
    <w:rsid w:val="00B034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3462"/>
  </w:style>
  <w:style w:type="paragraph" w:styleId="NormalWeb">
    <w:name w:val="Normal (Web)"/>
    <w:basedOn w:val="Normal"/>
    <w:uiPriority w:val="99"/>
    <w:semiHidden/>
    <w:unhideWhenUsed/>
    <w:rsid w:val="00E07E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07EC2"/>
    <w:rPr>
      <w:b/>
      <w:bCs/>
    </w:rPr>
  </w:style>
  <w:style w:type="character" w:styleId="Hipervnculo">
    <w:name w:val="Hyperlink"/>
    <w:basedOn w:val="Fuentedeprrafopredeter"/>
    <w:uiPriority w:val="99"/>
    <w:unhideWhenUsed/>
    <w:rsid w:val="005C4E3D"/>
    <w:rPr>
      <w:color w:val="0563C1" w:themeColor="hyperlink"/>
      <w:u w:val="single"/>
    </w:rPr>
  </w:style>
  <w:style w:type="character" w:styleId="Hipervnculovisitado">
    <w:name w:val="FollowedHyperlink"/>
    <w:basedOn w:val="Fuentedeprrafopredeter"/>
    <w:uiPriority w:val="99"/>
    <w:semiHidden/>
    <w:unhideWhenUsed/>
    <w:rsid w:val="005C4E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2615">
      <w:bodyDiv w:val="1"/>
      <w:marLeft w:val="0"/>
      <w:marRight w:val="0"/>
      <w:marTop w:val="0"/>
      <w:marBottom w:val="0"/>
      <w:divBdr>
        <w:top w:val="none" w:sz="0" w:space="0" w:color="auto"/>
        <w:left w:val="none" w:sz="0" w:space="0" w:color="auto"/>
        <w:bottom w:val="none" w:sz="0" w:space="0" w:color="auto"/>
        <w:right w:val="none" w:sz="0" w:space="0" w:color="auto"/>
      </w:divBdr>
    </w:div>
    <w:div w:id="826441296">
      <w:bodyDiv w:val="1"/>
      <w:marLeft w:val="0"/>
      <w:marRight w:val="0"/>
      <w:marTop w:val="0"/>
      <w:marBottom w:val="0"/>
      <w:divBdr>
        <w:top w:val="none" w:sz="0" w:space="0" w:color="auto"/>
        <w:left w:val="none" w:sz="0" w:space="0" w:color="auto"/>
        <w:bottom w:val="none" w:sz="0" w:space="0" w:color="auto"/>
        <w:right w:val="none" w:sz="0" w:space="0" w:color="auto"/>
      </w:divBdr>
    </w:div>
    <w:div w:id="1360735743">
      <w:bodyDiv w:val="1"/>
      <w:marLeft w:val="0"/>
      <w:marRight w:val="0"/>
      <w:marTop w:val="0"/>
      <w:marBottom w:val="0"/>
      <w:divBdr>
        <w:top w:val="none" w:sz="0" w:space="0" w:color="auto"/>
        <w:left w:val="none" w:sz="0" w:space="0" w:color="auto"/>
        <w:bottom w:val="none" w:sz="0" w:space="0" w:color="auto"/>
        <w:right w:val="none" w:sz="0" w:space="0" w:color="auto"/>
      </w:divBdr>
    </w:div>
    <w:div w:id="137527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1292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Miranda</dc:creator>
  <cp:keywords/>
  <dc:description/>
  <cp:lastModifiedBy>Begoña Miranda</cp:lastModifiedBy>
  <cp:revision>2</cp:revision>
  <cp:lastPrinted>2024-02-26T17:35:00Z</cp:lastPrinted>
  <dcterms:created xsi:type="dcterms:W3CDTF">2024-02-26T18:40:00Z</dcterms:created>
  <dcterms:modified xsi:type="dcterms:W3CDTF">2024-02-26T18:40:00Z</dcterms:modified>
</cp:coreProperties>
</file>